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BE9BE" w14:textId="77777777" w:rsidR="00D940B6" w:rsidRDefault="00D940B6" w:rsidP="00EE7FCF">
      <w:pPr>
        <w:ind w:left="-142" w:right="-433"/>
        <w:jc w:val="both"/>
        <w:rPr>
          <w:rFonts w:cs="Times New Roman"/>
          <w:i/>
          <w:lang w:val="it-IT"/>
        </w:rPr>
      </w:pPr>
    </w:p>
    <w:p w14:paraId="68E2F5B0" w14:textId="77777777" w:rsidR="00815AA7" w:rsidRDefault="009800E2" w:rsidP="00EE7FCF">
      <w:pPr>
        <w:ind w:left="-142" w:right="-433"/>
        <w:jc w:val="both"/>
        <w:rPr>
          <w:rFonts w:cs="Times New Roman"/>
          <w:i/>
          <w:lang w:val="it-IT"/>
        </w:rPr>
      </w:pPr>
      <w:r>
        <w:rPr>
          <w:rFonts w:eastAsia="Times New Roman" w:cs="Times New Roman"/>
          <w:i/>
          <w:iCs/>
          <w:lang w:val="en-GB"/>
        </w:rPr>
        <w:t>Press release no. 39/2021</w:t>
      </w:r>
    </w:p>
    <w:p w14:paraId="65F84EB5" w14:textId="77777777" w:rsidR="00E16E7B" w:rsidRDefault="00E16E7B" w:rsidP="00EE7FCF">
      <w:pPr>
        <w:ind w:left="-142"/>
        <w:jc w:val="both"/>
        <w:rPr>
          <w:rFonts w:cs="Times New Roman"/>
          <w:b/>
          <w:bCs/>
          <w:sz w:val="28"/>
          <w:szCs w:val="28"/>
        </w:rPr>
      </w:pPr>
    </w:p>
    <w:p w14:paraId="01F05391" w14:textId="77777777" w:rsidR="00EE7FCF" w:rsidRPr="00E5608F" w:rsidRDefault="009800E2" w:rsidP="00EE7FCF">
      <w:pPr>
        <w:autoSpaceDE w:val="0"/>
        <w:autoSpaceDN w:val="0"/>
        <w:adjustRightInd w:val="0"/>
        <w:ind w:left="-142"/>
        <w:jc w:val="both"/>
        <w:rPr>
          <w:rFonts w:cs="Times New Roman"/>
          <w:b/>
          <w:sz w:val="28"/>
          <w:szCs w:val="28"/>
        </w:rPr>
      </w:pPr>
      <w:r w:rsidRPr="00E5608F">
        <w:rPr>
          <w:rFonts w:eastAsia="Times New Roman" w:cs="Times New Roman"/>
          <w:b/>
          <w:sz w:val="28"/>
          <w:szCs w:val="28"/>
          <w:lang w:val="en-GB"/>
        </w:rPr>
        <w:t>"EIMA Energy, Biomass and Bioeconomy</w:t>
      </w:r>
    </w:p>
    <w:p w14:paraId="7BC2A508" w14:textId="77777777" w:rsidR="00EE7FCF" w:rsidRPr="0072592D" w:rsidRDefault="00EE7FCF" w:rsidP="00EE7FCF">
      <w:pPr>
        <w:autoSpaceDE w:val="0"/>
        <w:autoSpaceDN w:val="0"/>
        <w:adjustRightInd w:val="0"/>
        <w:ind w:left="-142"/>
        <w:jc w:val="both"/>
        <w:rPr>
          <w:rFonts w:cs="Times New Roman"/>
          <w:b/>
          <w:bCs/>
          <w:i/>
          <w:iCs/>
        </w:rPr>
      </w:pPr>
    </w:p>
    <w:p w14:paraId="75422F6C" w14:textId="77777777" w:rsidR="00EE7FCF" w:rsidRPr="0072592D" w:rsidRDefault="009800E2" w:rsidP="00EE7FCF">
      <w:pPr>
        <w:autoSpaceDE w:val="0"/>
        <w:autoSpaceDN w:val="0"/>
        <w:adjustRightInd w:val="0"/>
        <w:ind w:left="-142"/>
        <w:jc w:val="both"/>
        <w:rPr>
          <w:rFonts w:cs="Times New Roman"/>
          <w:b/>
          <w:bCs/>
          <w:i/>
          <w:iCs/>
        </w:rPr>
      </w:pPr>
      <w:r>
        <w:rPr>
          <w:rFonts w:eastAsia="Times New Roman" w:cs="Times New Roman"/>
          <w:b/>
          <w:bCs/>
          <w:i/>
          <w:iCs/>
          <w:lang w:val="en-GB"/>
        </w:rPr>
        <w:t>Seminar day at EIMA Energy dedicated to bioeconomy models. Presented the CoBrAF project, based on four strategic crops: camelina, hemp, safflower and flax.</w:t>
      </w:r>
    </w:p>
    <w:p w14:paraId="07223B66" w14:textId="77777777" w:rsidR="00EE7FCF" w:rsidRPr="0072592D" w:rsidRDefault="00EE7FCF" w:rsidP="00EE7FCF">
      <w:pPr>
        <w:autoSpaceDE w:val="0"/>
        <w:autoSpaceDN w:val="0"/>
        <w:adjustRightInd w:val="0"/>
        <w:ind w:left="-142"/>
        <w:jc w:val="both"/>
        <w:rPr>
          <w:rFonts w:cs="Times New Roman"/>
          <w:b/>
          <w:bCs/>
        </w:rPr>
      </w:pPr>
    </w:p>
    <w:p w14:paraId="474D6097" w14:textId="77777777" w:rsidR="00EE7FCF" w:rsidRPr="0072592D" w:rsidRDefault="009800E2" w:rsidP="00EE7FCF">
      <w:pPr>
        <w:autoSpaceDE w:val="0"/>
        <w:autoSpaceDN w:val="0"/>
        <w:adjustRightInd w:val="0"/>
        <w:ind w:left="-142"/>
        <w:jc w:val="both"/>
        <w:rPr>
          <w:rFonts w:cs="Times New Roman"/>
        </w:rPr>
      </w:pPr>
      <w:r>
        <w:rPr>
          <w:rFonts w:eastAsia="Times New Roman" w:cs="Times New Roman"/>
          <w:lang w:val="en-GB"/>
        </w:rPr>
        <w:t>As part of the conference activities of the Energy Show at EIMA International, the Italian biomass association ITABIA, in close collaboration with Chimica Verde Bionet and Federcanapa, dedicated the entire day yesterday to the workshop on the theme of circular bioeconomy.</w:t>
      </w:r>
    </w:p>
    <w:p w14:paraId="7E7F64F5" w14:textId="77777777" w:rsidR="00EE7FCF" w:rsidRPr="0072592D" w:rsidRDefault="009800E2" w:rsidP="00EE7FCF">
      <w:pPr>
        <w:autoSpaceDE w:val="0"/>
        <w:autoSpaceDN w:val="0"/>
        <w:adjustRightInd w:val="0"/>
        <w:ind w:left="-142"/>
        <w:jc w:val="both"/>
        <w:rPr>
          <w:rFonts w:cs="Times New Roman"/>
        </w:rPr>
      </w:pPr>
      <w:r>
        <w:rPr>
          <w:rFonts w:eastAsia="Times New Roman" w:cs="Times New Roman"/>
          <w:lang w:val="en-GB"/>
        </w:rPr>
        <w:t>In two separate events, the CoBrAF (Coprodotti da BiorAFfinerie) project was presented, an initiative aimed at promoting the development of sustainable agro-industrial supply chains, from the field to the shelf, financed by the Tuscany RDP.</w:t>
      </w:r>
    </w:p>
    <w:p w14:paraId="7850FE9D" w14:textId="77777777" w:rsidR="00EE7FCF" w:rsidRPr="0072592D" w:rsidRDefault="009800E2" w:rsidP="00EE7FCF">
      <w:pPr>
        <w:autoSpaceDE w:val="0"/>
        <w:autoSpaceDN w:val="0"/>
        <w:adjustRightInd w:val="0"/>
        <w:ind w:left="-142"/>
        <w:jc w:val="both"/>
        <w:rPr>
          <w:rFonts w:cs="Times New Roman"/>
        </w:rPr>
      </w:pPr>
      <w:r>
        <w:rPr>
          <w:rFonts w:eastAsia="Times New Roman" w:cs="Times New Roman"/>
          <w:lang w:val="en-GB"/>
        </w:rPr>
        <w:t>The project, which lasted three years and was coordinated by Chimica Verde Bionet, proposed and implemented a concrete model of bioeconomy, based on products that can be obtained from four oil crops: camelina, hemp, safflower and flax, which are all characterized by high nutritional and health properties, see polyunsaturated fatty acids and various other metabolites (vitamins, proteins, polyphenols, terpenes, glucosinolates, cannabinoids, lignans, etc.).</w:t>
      </w:r>
    </w:p>
    <w:p w14:paraId="5644D7BA" w14:textId="77777777" w:rsidR="00EE7FCF" w:rsidRPr="0072592D" w:rsidRDefault="009800E2" w:rsidP="00EE7FCF">
      <w:pPr>
        <w:autoSpaceDE w:val="0"/>
        <w:autoSpaceDN w:val="0"/>
        <w:adjustRightInd w:val="0"/>
        <w:ind w:left="-142"/>
        <w:jc w:val="both"/>
        <w:rPr>
          <w:rFonts w:cs="Times New Roman"/>
        </w:rPr>
      </w:pPr>
      <w:r>
        <w:rPr>
          <w:rFonts w:eastAsia="Times New Roman" w:cs="Times New Roman"/>
          <w:lang w:val="en-GB"/>
        </w:rPr>
        <w:t>To this end, the project envisages the creation of a local technical and logistical platform capable of exploiting the different components of the plant - oil, residual oilcake, straw and in some cases leaves and flowers - with a view to biorefinery. This could provide new market outlets and higher profitability for farmers.</w:t>
      </w:r>
    </w:p>
    <w:p w14:paraId="2A14DCCE" w14:textId="3546D34A" w:rsidR="00EE7FCF" w:rsidRPr="0072592D" w:rsidRDefault="009800E2" w:rsidP="00EE7FCF">
      <w:pPr>
        <w:autoSpaceDE w:val="0"/>
        <w:autoSpaceDN w:val="0"/>
        <w:adjustRightInd w:val="0"/>
        <w:ind w:left="-142"/>
        <w:jc w:val="both"/>
        <w:rPr>
          <w:rFonts w:cs="Times New Roman"/>
        </w:rPr>
      </w:pPr>
      <w:r>
        <w:rPr>
          <w:rFonts w:eastAsia="Times New Roman" w:cs="Times New Roman"/>
          <w:lang w:val="en-GB"/>
        </w:rPr>
        <w:t xml:space="preserve">In addition, a central theme that has been addressed is that of the agricultural mechanization necessary for the joint harvesting of hemp stems and tops and for the subsequent stages of </w:t>
      </w:r>
      <w:bookmarkStart w:id="0" w:name="OLE_LINK5"/>
      <w:bookmarkStart w:id="1" w:name="OLE_LINK6"/>
      <w:r w:rsidR="007766D1">
        <w:rPr>
          <w:rFonts w:eastAsia="Times New Roman" w:cs="Times New Roman"/>
          <w:lang w:val="en-GB"/>
        </w:rPr>
        <w:t xml:space="preserve">fiber </w:t>
      </w:r>
      <w:r>
        <w:rPr>
          <w:rFonts w:eastAsia="Times New Roman" w:cs="Times New Roman"/>
          <w:lang w:val="en-GB"/>
        </w:rPr>
        <w:t>scutching and retting</w:t>
      </w:r>
      <w:bookmarkEnd w:id="0"/>
      <w:bookmarkEnd w:id="1"/>
      <w:r>
        <w:rPr>
          <w:rFonts w:eastAsia="Times New Roman" w:cs="Times New Roman"/>
          <w:lang w:val="en-GB"/>
        </w:rPr>
        <w:t>.</w:t>
      </w:r>
    </w:p>
    <w:p w14:paraId="7D678354" w14:textId="77777777" w:rsidR="00EE7FCF" w:rsidRPr="0072592D" w:rsidRDefault="009800E2" w:rsidP="00EE7FCF">
      <w:pPr>
        <w:ind w:left="-142"/>
        <w:jc w:val="both"/>
        <w:rPr>
          <w:rFonts w:cs="Times New Roman"/>
        </w:rPr>
      </w:pPr>
      <w:r>
        <w:rPr>
          <w:rFonts w:eastAsia="Times New Roman" w:cs="Times New Roman"/>
          <w:lang w:val="en-GB"/>
        </w:rPr>
        <w:t>Finally, an overview was presented of the main techniques in use today and some innovative proposals for crop mechanization and the extraction of oils, fats and other active ingredients from the plants covered by the initiative, with the respective costs and benefits for farms and user companies.</w:t>
      </w:r>
    </w:p>
    <w:p w14:paraId="07262C13" w14:textId="77777777" w:rsidR="00D34394" w:rsidRDefault="00D34394" w:rsidP="00772725">
      <w:pPr>
        <w:ind w:left="-142" w:right="-433"/>
        <w:jc w:val="both"/>
        <w:rPr>
          <w:rFonts w:eastAsia="Calibri" w:cs="Times New Roman"/>
        </w:rPr>
      </w:pPr>
    </w:p>
    <w:p w14:paraId="5E75806F" w14:textId="77777777" w:rsidR="008553FB" w:rsidRPr="00D940B6" w:rsidRDefault="009800E2" w:rsidP="00772725">
      <w:pPr>
        <w:ind w:left="-142" w:right="-433"/>
        <w:jc w:val="both"/>
        <w:rPr>
          <w:rFonts w:eastAsia="Calibri" w:cs="Times New Roman"/>
        </w:rPr>
      </w:pPr>
      <w:r>
        <w:rPr>
          <w:rFonts w:eastAsia="Times New Roman" w:cs="Times New Roman"/>
          <w:b/>
          <w:bCs/>
          <w:lang w:val="en-GB"/>
        </w:rPr>
        <w:t xml:space="preserve">Bologna, October 22, 2021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84969" w14:textId="77777777" w:rsidR="001C5305" w:rsidRDefault="001C5305">
      <w:r>
        <w:separator/>
      </w:r>
    </w:p>
  </w:endnote>
  <w:endnote w:type="continuationSeparator" w:id="0">
    <w:p w14:paraId="2AA51E0A" w14:textId="77777777" w:rsidR="001C5305" w:rsidRDefault="001C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3B6F" w14:textId="77777777" w:rsidR="001C5305" w:rsidRDefault="001C5305">
      <w:r>
        <w:separator/>
      </w:r>
    </w:p>
  </w:footnote>
  <w:footnote w:type="continuationSeparator" w:id="0">
    <w:p w14:paraId="20CF4B23" w14:textId="77777777" w:rsidR="001C5305" w:rsidRDefault="001C5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4389" w14:textId="77777777" w:rsidR="00030F18" w:rsidRDefault="001C5305">
    <w:pPr>
      <w:pStyle w:val="Intestazione"/>
      <w:tabs>
        <w:tab w:val="clear" w:pos="9638"/>
        <w:tab w:val="right" w:pos="7485"/>
      </w:tabs>
    </w:pPr>
    <w:sdt>
      <w:sdtPr>
        <w:id w:val="-1786807496"/>
        <w:docPartObj>
          <w:docPartGallery w:val="Page Numbers (Margins)"/>
          <w:docPartUnique/>
        </w:docPartObj>
      </w:sdtPr>
      <w:sdtEndPr/>
      <w:sdtContent>
        <w:r w:rsidR="009800E2">
          <w:rPr>
            <w:noProof/>
            <w:lang w:val="it-IT"/>
          </w:rPr>
          <mc:AlternateContent>
            <mc:Choice Requires="wpg">
              <w:drawing>
                <wp:anchor distT="0" distB="0" distL="114300" distR="114300" simplePos="0" relativeHeight="251663360" behindDoc="0" locked="0" layoutInCell="0" allowOverlap="1" wp14:anchorId="31F1FDF1" wp14:editId="2BA7E33D">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058E8695" w14:textId="77777777" w:rsidR="00030F18" w:rsidRDefault="009800E2">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wps:wsp>
                        <wpg:grpSp>
                          <wpg:cNvPr id="5" name="Group 72"/>
                          <wpg:cNvGrpSpPr/>
                          <wpg:grpSpPr>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uppo 3" o:spid="_x0000_s2049" style="width:38.45pt;height:18.7pt;margin-top:0;margin-left:0;mso-position-horizontal:center;mso-position-horizontal-relative:right-margin-area;mso-position-vertical-relative:page;mso-top-percent:200;position:absolute;z-index:251664384" coordorigin="689,3255" coordsize="769,374" o:allowincell="f">
                  <v:shapetype id="_x0000_t202" coordsize="21600,21600" o:spt="202" path="m,l,21600r21600,l21600,xe">
                    <v:stroke joinstyle="miter"/>
                    <v:path gradientshapeok="t" o:connecttype="rect"/>
                  </v:shapetype>
                  <v:shape id="Text Box 71" o:spid="_x0000_s2050" type="#_x0000_t202" style="width:769;height:360;left:689;mso-wrap-style:square;position:absolute;top:3263;visibility:visible;v-text-anchor:middle" filled="f" stroked="f">
                    <v:textbox inset="0,0,0,0">
                      <w:txbxContent>
                        <w:p w:rsidR="00030F18" w14:paraId="19EF0522" w14:textId="77777777">
                          <w:pPr>
                            <w:pStyle w:val="Header"/>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v:textbox>
                  </v:shape>
                  <v:group id="Group 72" o:spid="_x0000_s2051" style="width:374;height:374;left:886;position:absolute;top:3255" coordorigin="1453,14832" coordsize="374,374">
                    <v:oval id="Oval 73" o:spid="_x0000_s2052" style="width:374;height:374;left:1453;mso-wrap-style:square;position:absolute;top:14832;visibility:visible;v-text-anchor:top" filled="f" strokecolor="#84a2c6" strokeweight="0.5pt"/>
                    <v:oval id="Oval 74" o:spid="_x0000_s2053" style="width:101;height:101;left:1462;mso-wrap-style:square;position:absolute;top:14835;visibility:visible;v-text-anchor:top" fillcolor="#84a2c6" stroked="f"/>
                  </v:group>
                </v:group>
              </w:pict>
            </mc:Fallback>
          </mc:AlternateContent>
        </w:r>
      </w:sdtContent>
    </w:sdt>
    <w:r w:rsidR="009800E2">
      <w:rPr>
        <w:noProof/>
        <w:lang w:val="it-IT"/>
      </w:rPr>
      <mc:AlternateContent>
        <mc:Choice Requires="wps">
          <w:drawing>
            <wp:anchor distT="152400" distB="152400" distL="152400" distR="152400" simplePos="0" relativeHeight="251658240" behindDoc="1" locked="0" layoutInCell="1" allowOverlap="1" wp14:anchorId="62C56915" wp14:editId="4A5D473C">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4"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w:pict>
        </mc:Fallback>
      </mc:AlternateContent>
    </w:r>
    <w:r w:rsidR="009800E2">
      <w:rPr>
        <w:noProof/>
        <w:lang w:val="it-IT"/>
      </w:rPr>
      <w:drawing>
        <wp:anchor distT="152400" distB="152400" distL="152400" distR="152400" simplePos="0" relativeHeight="251660288" behindDoc="1" locked="0" layoutInCell="1" allowOverlap="1" wp14:anchorId="7782A541" wp14:editId="6A0AB45C">
          <wp:simplePos x="0" y="0"/>
          <wp:positionH relativeFrom="page">
            <wp:posOffset>-31749</wp:posOffset>
          </wp:positionH>
          <wp:positionV relativeFrom="page">
            <wp:posOffset>3175</wp:posOffset>
          </wp:positionV>
          <wp:extent cx="7588885" cy="10744200"/>
          <wp:effectExtent l="0" t="0" r="0" b="0"/>
          <wp:wrapNone/>
          <wp:docPr id="1073741826" name="officeArt object" descr="INT EIMA PAPER com print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sidR="009800E2">
      <w:rPr>
        <w:noProof/>
        <w:lang w:val="it-IT"/>
      </w:rPr>
      <mc:AlternateContent>
        <mc:Choice Requires="wps">
          <w:drawing>
            <wp:anchor distT="152400" distB="152400" distL="152400" distR="152400" simplePos="0" relativeHeight="251661312" behindDoc="1" locked="0" layoutInCell="1" allowOverlap="1" wp14:anchorId="37B6101A" wp14:editId="5E9497C0">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8DF76F0" w14:textId="77777777" w:rsidR="00030F18" w:rsidRDefault="009800E2">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5"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v:textbox inset="3.6pt,,3.6pt">
                <w:txbxContent>
                  <w:p w:rsidR="00030F18" w14:paraId="25578936"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671E6"/>
    <w:rsid w:val="00180463"/>
    <w:rsid w:val="0018354D"/>
    <w:rsid w:val="00191F36"/>
    <w:rsid w:val="00196FD7"/>
    <w:rsid w:val="001A0DCB"/>
    <w:rsid w:val="001B7564"/>
    <w:rsid w:val="001C5305"/>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247F1"/>
    <w:rsid w:val="0072592D"/>
    <w:rsid w:val="00731188"/>
    <w:rsid w:val="00733D65"/>
    <w:rsid w:val="00751BE5"/>
    <w:rsid w:val="0076025C"/>
    <w:rsid w:val="007609F5"/>
    <w:rsid w:val="00766BC5"/>
    <w:rsid w:val="00772725"/>
    <w:rsid w:val="0077302F"/>
    <w:rsid w:val="007766D1"/>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800E2"/>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F7AC3"/>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42DA"/>
    <w:rsid w:val="00E554B1"/>
    <w:rsid w:val="00E5608F"/>
    <w:rsid w:val="00E73CDA"/>
    <w:rsid w:val="00E7611F"/>
    <w:rsid w:val="00E76A4B"/>
    <w:rsid w:val="00E92448"/>
    <w:rsid w:val="00EB3652"/>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C5A993"/>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4</cp:revision>
  <cp:lastPrinted>2021-10-20T14:41:00Z</cp:lastPrinted>
  <dcterms:created xsi:type="dcterms:W3CDTF">2021-10-22T10:51:00Z</dcterms:created>
  <dcterms:modified xsi:type="dcterms:W3CDTF">2021-10-22T19:11:00Z</dcterms:modified>
</cp:coreProperties>
</file>